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附件</w:t>
      </w:r>
      <w:r>
        <w:rPr>
          <w:rFonts w:hint="eastAsia"/>
          <w:b/>
          <w:bCs/>
          <w:sz w:val="24"/>
          <w:szCs w:val="24"/>
          <w:lang w:val="en-US" w:eastAsia="zh-CN"/>
        </w:rPr>
        <w:t>1：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毕业资格审核流程（教学秘书操作）</w:t>
      </w:r>
    </w:p>
    <w:p>
      <w:pPr>
        <w:numPr>
          <w:ilvl w:val="0"/>
          <w:numId w:val="1"/>
        </w:num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必修课、专业选修课审核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第一步：</w:t>
      </w:r>
      <w:r>
        <w:rPr>
          <w:rFonts w:hint="eastAsia"/>
          <w:sz w:val="24"/>
          <w:szCs w:val="24"/>
          <w:lang w:eastAsia="zh-CN"/>
        </w:rPr>
        <w:t>打开教务系统客户端</w:t>
      </w:r>
      <w:r>
        <w:rPr>
          <w:rFonts w:hint="eastAsia"/>
          <w:sz w:val="24"/>
          <w:szCs w:val="24"/>
          <w:lang w:val="en-US" w:eastAsia="zh-CN"/>
        </w:rPr>
        <w:t>-成绩管理-统计分析-不及格统计-</w:t>
      </w:r>
      <w:r>
        <w:rPr>
          <w:rFonts w:hint="eastAsia"/>
          <w:b/>
          <w:bCs/>
          <w:sz w:val="24"/>
          <w:szCs w:val="24"/>
          <w:lang w:val="en-US" w:eastAsia="zh-CN"/>
        </w:rPr>
        <w:t>学生</w:t>
      </w:r>
      <w:r>
        <w:rPr>
          <w:rFonts w:hint="eastAsia"/>
          <w:sz w:val="24"/>
          <w:szCs w:val="24"/>
          <w:lang w:val="en-US" w:eastAsia="zh-CN"/>
        </w:rPr>
        <w:t>不及格名单</w:t>
      </w:r>
    </w:p>
    <w:p>
      <w:pPr>
        <w:ind w:left="964" w:hanging="964" w:hangingChars="4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第二步：</w:t>
      </w:r>
      <w:r>
        <w:rPr>
          <w:rFonts w:hint="eastAsia"/>
          <w:sz w:val="24"/>
          <w:szCs w:val="24"/>
          <w:lang w:eastAsia="zh-CN"/>
        </w:rPr>
        <w:t>如图。起止学年学期</w:t>
      </w:r>
      <w:r>
        <w:rPr>
          <w:rFonts w:hint="eastAsia"/>
          <w:sz w:val="24"/>
          <w:szCs w:val="24"/>
          <w:lang w:val="en-US" w:eastAsia="zh-CN"/>
        </w:rPr>
        <w:t>-2009-2010-2学期（起止学期至少是2014-2015-1学期）；</w:t>
      </w:r>
    </w:p>
    <w:p>
      <w:pPr>
        <w:ind w:firstLine="960" w:firstLineChars="4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按条件查：选择“是否在校”（以此来排除掉休学或当兵学生）；</w:t>
      </w:r>
    </w:p>
    <w:p>
      <w:pPr>
        <w:ind w:firstLine="960" w:firstLineChars="4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课程选项内：只勾选“必修、专业选修”；</w:t>
      </w:r>
    </w:p>
    <w:p>
      <w:pPr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不及格门次统计，勾选。</w:t>
      </w:r>
    </w:p>
    <w:p/>
    <w:p>
      <w:r>
        <w:drawing>
          <wp:inline distT="0" distB="0" distL="114300" distR="114300">
            <wp:extent cx="4342765" cy="5275580"/>
            <wp:effectExtent l="0" t="0" r="63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5275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第三步</w:t>
      </w:r>
      <w:r>
        <w:rPr>
          <w:rFonts w:hint="eastAsia"/>
          <w:sz w:val="24"/>
          <w:szCs w:val="24"/>
          <w:lang w:eastAsia="zh-CN"/>
        </w:rPr>
        <w:t>：如下图箭头处，点击“姓名”，按姓名排序，</w:t>
      </w:r>
      <w:r>
        <w:rPr>
          <w:rFonts w:hint="eastAsia"/>
          <w:b/>
          <w:bCs/>
          <w:sz w:val="24"/>
          <w:szCs w:val="24"/>
          <w:lang w:eastAsia="zh-CN"/>
        </w:rPr>
        <w:t>导出表格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后，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增加“本人确认”及“备注”栏。要求学生本人签字确认；“备注”栏显示“重修中”或“已结业”；</w:t>
      </w: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（此表一式两份，本系留存、教务处留存）。</w:t>
      </w:r>
    </w:p>
    <w:p>
      <w:r>
        <w:drawing>
          <wp:inline distT="0" distB="0" distL="114300" distR="114300">
            <wp:extent cx="5601335" cy="5356225"/>
            <wp:effectExtent l="0" t="0" r="18415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1335" cy="535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导出表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，增加“本人确认（签名）”、“备注”栏（如下图）</w:t>
      </w:r>
    </w:p>
    <w:p>
      <w:r>
        <w:drawing>
          <wp:inline distT="0" distB="0" distL="114300" distR="114300">
            <wp:extent cx="5634990" cy="2025650"/>
            <wp:effectExtent l="0" t="0" r="3810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4990" cy="202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第四步：根据表2学生确认情况，再导出表1，填写后期相关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“毕业结论”</w:t>
      </w:r>
      <w:r>
        <w:rPr>
          <w:rFonts w:hint="eastAsia"/>
          <w:b/>
          <w:bCs/>
          <w:sz w:val="24"/>
          <w:szCs w:val="24"/>
          <w:lang w:val="en-US" w:eastAsia="zh-CN"/>
        </w:rPr>
        <w:t>。</w:t>
      </w:r>
    </w:p>
    <w:p>
      <w:pPr>
        <w:ind w:firstLine="964" w:firstLineChars="4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如学生必修课程至少一门不及格且未重修，填写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“结业”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ind w:firstLine="964" w:firstLineChars="400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如学生所有不及格课程均在重修中，填写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 xml:space="preserve">“暂缓毕业”。  </w:t>
      </w:r>
    </w:p>
    <w:p>
      <w:pPr>
        <w:rPr>
          <w:rFonts w:hint="eastAsia"/>
          <w:b/>
          <w:bCs/>
          <w:color w:val="7030A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材料收取：</w:t>
      </w:r>
      <w:r>
        <w:rPr>
          <w:rFonts w:hint="eastAsia"/>
          <w:b/>
          <w:bCs/>
          <w:color w:val="7030A0"/>
          <w:sz w:val="24"/>
          <w:szCs w:val="24"/>
          <w:lang w:val="en-US" w:eastAsia="zh-CN"/>
        </w:rPr>
        <w:t>（表1电子版、纸质版均按规定时间交至学籍学位科）。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二、院选修课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审核流程</w:t>
      </w:r>
    </w:p>
    <w:p>
      <w:pP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第一步：成绩管理-统计分析-学分统计-全校性公选课按课程归属获得学分统计。</w:t>
      </w:r>
    </w:p>
    <w:p>
      <w:pPr>
        <w:ind w:firstLine="964" w:firstLineChars="400"/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如图，年级：2014级；按条件查：是否在校；</w:t>
      </w:r>
    </w:p>
    <w:p>
      <w:pP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第二步：单击“总学分”排序，小于5个学分的，点击此行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（因系统课程名称可能不一致，具体可参考2023-2024-2学期教学秘书QQ群毕业班通识课未满学分表的名单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）；</w:t>
      </w: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第三步：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与必修课审核步骤第三步相同。</w:t>
      </w: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材料收取：</w:t>
      </w:r>
      <w:r>
        <w:rPr>
          <w:rFonts w:hint="eastAsia"/>
          <w:b/>
          <w:bCs/>
          <w:color w:val="7030A0"/>
          <w:sz w:val="24"/>
          <w:szCs w:val="24"/>
          <w:lang w:val="en-US" w:eastAsia="zh-CN"/>
        </w:rPr>
        <w:t>（表1电子版、纸质版均按规定时间交至学籍学位科）。</w:t>
      </w:r>
    </w:p>
    <w:p>
      <w:pPr>
        <w:jc w:val="left"/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jc w:val="left"/>
      </w:pPr>
      <w:r>
        <w:drawing>
          <wp:inline distT="0" distB="0" distL="114300" distR="114300">
            <wp:extent cx="4895215" cy="2828290"/>
            <wp:effectExtent l="0" t="0" r="635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215" cy="2828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6052185" cy="2629535"/>
            <wp:effectExtent l="0" t="0" r="5715" b="184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2185" cy="2629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EA7680"/>
    <w:multiLevelType w:val="singleLevel"/>
    <w:tmpl w:val="5AEA7680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NjJmOGM3NzdiYzYzOTQ1MGNjN2FiOGRmNjllZjcifQ=="/>
  </w:docVars>
  <w:rsids>
    <w:rsidRoot w:val="382316B2"/>
    <w:rsid w:val="084A5CD0"/>
    <w:rsid w:val="09D70F97"/>
    <w:rsid w:val="0D0C7A4E"/>
    <w:rsid w:val="0D501777"/>
    <w:rsid w:val="17E04FB5"/>
    <w:rsid w:val="2EB37448"/>
    <w:rsid w:val="2F0106CB"/>
    <w:rsid w:val="3072555F"/>
    <w:rsid w:val="352549E8"/>
    <w:rsid w:val="382316B2"/>
    <w:rsid w:val="3B377869"/>
    <w:rsid w:val="3F4D5267"/>
    <w:rsid w:val="400C185C"/>
    <w:rsid w:val="42213106"/>
    <w:rsid w:val="42996025"/>
    <w:rsid w:val="457F37BE"/>
    <w:rsid w:val="4C6F0462"/>
    <w:rsid w:val="535D5B1D"/>
    <w:rsid w:val="54073469"/>
    <w:rsid w:val="586E6522"/>
    <w:rsid w:val="5EDC6ADD"/>
    <w:rsid w:val="5F015DDF"/>
    <w:rsid w:val="5F0E083B"/>
    <w:rsid w:val="6186493B"/>
    <w:rsid w:val="63C23E4F"/>
    <w:rsid w:val="64A44608"/>
    <w:rsid w:val="74387CB8"/>
    <w:rsid w:val="767F3E8E"/>
    <w:rsid w:val="7EC6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540</Words>
  <Characters>566</Characters>
  <Lines>0</Lines>
  <Paragraphs>0</Paragraphs>
  <TotalTime>1</TotalTime>
  <ScaleCrop>false</ScaleCrop>
  <LinksUpToDate>false</LinksUpToDate>
  <CharactersWithSpaces>568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2018-05-03T01:20:00Z</dcterms:created>
  <dc:creator>Administrator</dc:creator>
  <cp:lastModifiedBy>WPS Wulaoshi</cp:lastModifiedBy>
  <dcterms:modified xsi:type="dcterms:W3CDTF">2024-04-24T02:58:59Z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DBB27094B06D4D6D854BCE6A15A223DE</vt:lpwstr>
  </property>
</Properties>
</file>