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exact"/>
        <w:jc w:val="center"/>
        <w:outlineLvl w:val="0"/>
        <w:rPr>
          <w:rFonts w:ascii="Times New Roman" w:hAnsi="Times New Roman" w:eastAsia="方正小标宋_GBK" w:cs="Times New Roman"/>
          <w:kern w:val="44"/>
          <w:sz w:val="44"/>
          <w:szCs w:val="44"/>
          <w:shd w:val="clear" w:color="auto" w:fill="FFFFFF"/>
          <w:lang w:bidi="ar"/>
        </w:rPr>
      </w:pPr>
      <w:r>
        <w:rPr>
          <w:rFonts w:hint="eastAsia" w:ascii="Times New Roman" w:hAnsi="Times New Roman" w:eastAsia="方正小标宋_GBK" w:cs="Times New Roman"/>
          <w:kern w:val="44"/>
          <w:sz w:val="44"/>
          <w:szCs w:val="44"/>
          <w:shd w:val="clear" w:color="auto" w:fill="FFFFFF"/>
          <w:lang w:bidi="ar"/>
        </w:rPr>
        <w:t>2026年安徽省大学生创意设计大赛</w:t>
      </w:r>
    </w:p>
    <w:p>
      <w:pPr>
        <w:widowControl/>
        <w:shd w:val="clear" w:color="auto" w:fill="FFFFFF"/>
        <w:spacing w:line="580" w:lineRule="exact"/>
        <w:jc w:val="center"/>
        <w:outlineLvl w:val="0"/>
        <w:rPr>
          <w:rFonts w:ascii="Times New Roman" w:hAnsi="Times New Roman" w:eastAsia="方正小标宋_GBK" w:cs="Times New Roman"/>
          <w:kern w:val="44"/>
          <w:sz w:val="44"/>
          <w:szCs w:val="44"/>
          <w:shd w:val="clear" w:color="auto" w:fill="FFFFFF"/>
          <w:lang w:bidi="ar"/>
        </w:rPr>
      </w:pPr>
      <w:r>
        <w:rPr>
          <w:rFonts w:hint="eastAsia" w:ascii="Times New Roman" w:hAnsi="Times New Roman" w:eastAsia="方正小标宋_GBK" w:cs="Times New Roman"/>
          <w:kern w:val="44"/>
          <w:sz w:val="44"/>
          <w:szCs w:val="44"/>
          <w:shd w:val="clear" w:color="auto" w:fill="FFFFFF"/>
          <w:lang w:bidi="ar"/>
        </w:rPr>
        <w:t>赛项规程</w:t>
      </w:r>
    </w:p>
    <w:p>
      <w:pPr>
        <w:widowControl/>
        <w:shd w:val="clear" w:color="auto" w:fill="FFFFFF"/>
        <w:spacing w:line="480" w:lineRule="exact"/>
        <w:ind w:firstLine="562"/>
        <w:jc w:val="left"/>
        <w:rPr>
          <w:rFonts w:hint="eastAsia" w:ascii="宋体" w:hAnsi="宋体" w:eastAsia="宋体" w:cs="宋体"/>
          <w:b/>
          <w:bCs/>
          <w:kern w:val="0"/>
          <w:sz w:val="24"/>
          <w:shd w:val="clear" w:color="auto" w:fill="FFFFFF"/>
          <w:lang w:bidi="ar"/>
        </w:rPr>
      </w:pP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一、赛项名称</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赛项名称：安徽省大学生创意设计大赛</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英语名称：Anhui College Students Creative Design Competition</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二、竞赛组织机构</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主办单位：安徽省教育厅</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承办单位：安徽工程大学</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（一）组织委员会</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主任委员：</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刘业勋    安徽省教育厅副厅长</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执行主任委员：</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王成军    安徽工程大学副校长</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委员：</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蒋正飞    安徽省教育厅高教处处长</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 xml:space="preserve">夏登峰    安徽工程大学教务处处长       </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安徽省各高校分管教学或创新创业教育工作校领导</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（二）专家委员会</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主任委员：</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张凌浩    南京艺术学院院长 教授</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委员：</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黄心渊    中国传媒大学教授</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冯信群    东华大学教授</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（三）仲裁委员会</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主任：</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程双四    安徽工程大学纪委书记</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成员：</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李  伟    南京航空航天大学教授</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张  犇    南京师范大学教授</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（四）秘书处</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秘书长：</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张学东    安徽工程大学设计学院院长</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大赛秘书处设在安徽工程大学设计学院，负责大赛的组织实施。</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三、竞赛目的</w:t>
      </w:r>
    </w:p>
    <w:p>
      <w:pPr>
        <w:spacing w:line="554" w:lineRule="exact"/>
        <w:ind w:firstLine="566" w:firstLineChars="177"/>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本次大赛围绕文化遗产创新、健康生活、智慧出行、农文旅乡村设计四大方向开展。旨在深化高校教学改革，优化设计专业人才培养模式，推动专业发展对接区域战略，提升人才适配度。以赛促学、以赛促创，锤炼学生创新实践能力，培育复合型设计人才；同时搭建人才与成果转化平台，发掘优秀人才，推动设计成果落地应用，助力徽派文化传承、产业升级与乡村振兴，赋能区域高质量发展。</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四、竞赛内容</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（一）“文化遗产活化与创新设计”赛道</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聚焦非物质文化遗产、传统建筑、工艺造物、装饰图形等传统文化资源，通过可视化、数字化与现代设计手法进行创造性转化与创新性发展。参赛内容包括但不限于：文化遗产数字化保护与传播、品牌与IP设计、文旅融合创新设计、传统村落与历史街区活化更新、传统工艺饰品创新设计等。</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（二）“生活方式与健康设计”赛道</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秉承“以人的健康为中心”的设计理念，关注数智时代儿童、老年人及特殊群体的适龄化、包容性设计，提升康养、康复及医疗场景中的用户体验，推动安全、舒适、健康的生活方式形成。参赛内容包括但不限于：康养空间与环境设计、适龄化与交互设计、公共健康与服务设计、健康行为设计、医疗产品设计、健身与康复产品设计、艺术疗愈与游戏设计、健康生活方式设计与传播等。</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（三）“智慧出行与未来场景设计”赛道</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围绕汽车产业与低空经济发展，融合文化、科技、艺术与商业视角，探索智慧出行新模式与新体验。参赛内容包括但不限于：交通（飞行）工具设计、公共交通空间与设施创新设计、出行导视系统与交互设计、交通（飞行）站点与服务场景设计、智慧出行相关产品与服务系统设计、智慧出行场景设计等。</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（四）“农文旅发展与乡村设计”赛道</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以设计激活乡土基因，推动乡村作为生活、文化与产业综合体的创造性发展，促进新旧共生、社群联结与生态可持续。参赛内容包括但不限于：农产品品牌与包装设计、食物设计、乡村文旅工艺品设计、乡村文旅产品及体验设计、乡村公共空间与景观设计、乡土文化传播与社区活化等。</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设计展板（90cm*120cm,竖版，jpeg，200dpi，1张）和/或视频(720P以上，mp4格式)。（排版文件请使用大赛提供的模版，见附件6；视频请在片头设置“安徽省大学生创意设计大赛”字样）。</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五、竞赛方式</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本次大赛包括校赛、省赛两个环节。</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（一）校赛</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参赛院校负责组织校赛，按一定比例择优推荐作品参加省赛。</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（二）省赛</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参赛院校在指定时间内提交校赛作品至大赛组委会，大赛专家委员会根据评审要求对所有参赛作品进行评审。</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六、竞赛流程</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各校提交已通过原创性审查和意识形态审查的优秀作品、组委会进行参赛资料审查、评审专家初审、复评、获奖公示等。</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七、竞赛规则</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（一）报名资格</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参赛人为安徽省全日制高校在校学生，参赛作品须为参赛人在校期间完成的作品，作品完成时间须为2025年10月至2026年9月14日。</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参赛选手不受性别、年龄、学历、国籍和民族限制。</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（二）报名要求</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（1）参赛作品报送截止日期为2026年10月18日，各参赛院校以学校为单位一次性统一报送，不接受个人报送。</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2）各参赛院校须自行组织校赛筛选，最终参加省赛的作品总数量不超过设计学类及相关专业（动画、建筑学、工业设计）在校生数总人数的5%与美术、设计类研究生（艺术学、美术与书法、设计、设计学专业）总人数的10%（以2026年上半年计算）。联合培养、专升本类参赛选手从现正就读的院校报名参赛，联培单位的在校生人数不计算在总基数里。如果没有组织校赛筛选，一经核实，将取消该校所有作品的参赛资格。各参赛单位在校赛结束后，需将拟推荐省赛名单及作品公示不少于5个工作日。</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3）各参赛院校统一审核参赛作品、参赛者及指导教师的限项数等。同一参赛类别中，同一教师指导报送的作品总数不得超过4件（其中作为第一指导教师的作品不超过2件、其他排序作品不超过2件）。学生参与比赛可无指导教师。每个赛项中，参赛者参与作品数量不超过3项，其中第一作者不超过2项。每位参赛者参与所有赛项的总件数（含第一及其它顺序作者）不超过5项。作品已在其它赛事获奖的，不能再次投稿本次比赛。</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4）所有参赛作品均系参赛者本人（或教师指导下）自行创作的作品，参赛作品内容须健康、合法，无任何不良信息。参赛作品所涉及的画面、声音等必须拥有清晰合法的知识产权，报名时需提交完整的具有法律效力的书面授权书。大赛组委会不负责对参赛作品拥有权进行核实，若发生侵权或违反知识产权的行为，由参赛者自行承担法律责任。抄袭、盗用、提供虚假材料或违反相关法律法规者，将被取消参赛资格并自负一切法律责任。参赛项目视情况公开。</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5）各校报送的所有作品须通过原创性审查和意识形态审查，并同时报送原创性审查报告及意识形态审查报告（附件5），报告附报送作品清单，两份报告及作品清单均须盖校章或教务处章。附件5扫描件PDF版由参赛学校赛事负责人通过大赛系统统一上传。</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（6）如作品使用AI工具，请在作品报名表内详细说明使用AI的工具、生成过程等情况。</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（三）比赛时间安排</w:t>
      </w:r>
    </w:p>
    <w:tbl>
      <w:tblPr>
        <w:tblStyle w:val="7"/>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20"/>
        <w:gridCol w:w="1880"/>
        <w:gridCol w:w="1427"/>
        <w:gridCol w:w="4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2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序号</w:t>
            </w:r>
          </w:p>
        </w:tc>
        <w:tc>
          <w:tcPr>
            <w:tcW w:w="188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时间</w:t>
            </w:r>
          </w:p>
        </w:tc>
        <w:tc>
          <w:tcPr>
            <w:tcW w:w="1427"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内容</w:t>
            </w:r>
          </w:p>
        </w:tc>
        <w:tc>
          <w:tcPr>
            <w:tcW w:w="4591"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2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1</w:t>
            </w:r>
          </w:p>
        </w:tc>
        <w:tc>
          <w:tcPr>
            <w:tcW w:w="188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2026年6月</w:t>
            </w:r>
          </w:p>
        </w:tc>
        <w:tc>
          <w:tcPr>
            <w:tcW w:w="1427"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发布公告</w:t>
            </w:r>
          </w:p>
        </w:tc>
        <w:tc>
          <w:tcPr>
            <w:tcW w:w="4591"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发布大赛规程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2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2</w:t>
            </w:r>
          </w:p>
        </w:tc>
        <w:tc>
          <w:tcPr>
            <w:tcW w:w="188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2026年6月-9月14日</w:t>
            </w:r>
          </w:p>
        </w:tc>
        <w:tc>
          <w:tcPr>
            <w:tcW w:w="1427"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院校报名</w:t>
            </w:r>
          </w:p>
        </w:tc>
        <w:tc>
          <w:tcPr>
            <w:tcW w:w="4591"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各参赛高校填写院校参赛报名表（附件1）发至指定邮箱，获取赛事系统账号、密码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jc w:val="center"/>
        </w:trPr>
        <w:tc>
          <w:tcPr>
            <w:tcW w:w="52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3</w:t>
            </w:r>
          </w:p>
        </w:tc>
        <w:tc>
          <w:tcPr>
            <w:tcW w:w="188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2026年10月18日前</w:t>
            </w:r>
          </w:p>
        </w:tc>
        <w:tc>
          <w:tcPr>
            <w:tcW w:w="1427"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校赛、参加省赛作品提交</w:t>
            </w:r>
          </w:p>
        </w:tc>
        <w:tc>
          <w:tcPr>
            <w:tcW w:w="4591"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各参赛高校组织校赛，选拔参加省赛优秀作品并审核上传（各参赛高校按照本通知要求，指定一名专门的负责人，将选拔出参加省赛的作品，在大赛平台审核、推荐）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2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4</w:t>
            </w:r>
          </w:p>
        </w:tc>
        <w:tc>
          <w:tcPr>
            <w:tcW w:w="188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2026年12月15日前</w:t>
            </w:r>
          </w:p>
        </w:tc>
        <w:tc>
          <w:tcPr>
            <w:tcW w:w="1427"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专家评审</w:t>
            </w:r>
          </w:p>
        </w:tc>
        <w:tc>
          <w:tcPr>
            <w:tcW w:w="4591"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ascii="Times New Roman" w:hAnsi="Times New Roman" w:eastAsia="方正仿宋_GBK" w:cs="Times New Roman"/>
                <w:sz w:val="28"/>
                <w:szCs w:val="28"/>
                <w:shd w:val="clear" w:color="auto" w:fill="FFFFFF"/>
              </w:rPr>
              <w:t>专家评审团分赛道通过</w:t>
            </w:r>
            <w:r>
              <w:rPr>
                <w:rFonts w:hint="eastAsia" w:ascii="Times New Roman" w:hAnsi="Times New Roman" w:eastAsia="方正仿宋_GBK" w:cs="Times New Roman"/>
                <w:sz w:val="28"/>
                <w:szCs w:val="28"/>
                <w:shd w:val="clear" w:color="auto" w:fill="FFFFFF"/>
              </w:rPr>
              <w:t>赛事</w:t>
            </w:r>
            <w:r>
              <w:rPr>
                <w:rFonts w:ascii="Times New Roman" w:hAnsi="Times New Roman" w:eastAsia="方正仿宋_GBK" w:cs="Times New Roman"/>
                <w:sz w:val="28"/>
                <w:szCs w:val="28"/>
                <w:shd w:val="clear" w:color="auto" w:fill="FFFFFF"/>
              </w:rPr>
              <w:t>系统评审</w:t>
            </w:r>
            <w:r>
              <w:rPr>
                <w:rFonts w:hint="eastAsia" w:ascii="Times New Roman" w:hAnsi="Times New Roman" w:eastAsia="方正仿宋_GBK" w:cs="Times New Roman"/>
                <w:sz w:val="28"/>
                <w:szCs w:val="28"/>
                <w:shd w:val="clear" w:color="auto" w:fill="FFFFFF"/>
              </w:rPr>
              <w:t>作品</w:t>
            </w:r>
            <w:r>
              <w:rPr>
                <w:rFonts w:ascii="Times New Roman" w:hAnsi="Times New Roman" w:eastAsia="方正仿宋_GBK" w:cs="Times New Roman"/>
                <w:sz w:val="28"/>
                <w:szCs w:val="28"/>
                <w:shd w:val="clear" w:color="auto" w:fill="FFFFFF"/>
              </w:rPr>
              <w:t>电子版，</w:t>
            </w:r>
            <w:r>
              <w:rPr>
                <w:rFonts w:hint="eastAsia" w:ascii="Times New Roman" w:hAnsi="Times New Roman" w:eastAsia="方正仿宋_GBK" w:cs="Times New Roman"/>
                <w:sz w:val="28"/>
                <w:szCs w:val="28"/>
                <w:shd w:val="clear" w:color="auto" w:fill="FFFFFF"/>
              </w:rPr>
              <w:t>每个赛道不少于三位专家进行</w:t>
            </w:r>
            <w:r>
              <w:rPr>
                <w:rFonts w:ascii="Times New Roman" w:hAnsi="Times New Roman" w:eastAsia="方正仿宋_GBK" w:cs="Times New Roman"/>
                <w:sz w:val="28"/>
                <w:szCs w:val="28"/>
                <w:shd w:val="clear" w:color="auto" w:fill="FFFFFF"/>
              </w:rPr>
              <w:t>独立评分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2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5</w:t>
            </w:r>
          </w:p>
        </w:tc>
        <w:tc>
          <w:tcPr>
            <w:tcW w:w="1880"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2026年12月底之前</w:t>
            </w:r>
          </w:p>
        </w:tc>
        <w:tc>
          <w:tcPr>
            <w:tcW w:w="1427"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获奖公示</w:t>
            </w:r>
          </w:p>
        </w:tc>
        <w:tc>
          <w:tcPr>
            <w:tcW w:w="4591" w:type="dxa"/>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择日公示评审结果</w:t>
            </w:r>
          </w:p>
        </w:tc>
      </w:tr>
    </w:tbl>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（四）成绩公布</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大赛获奖名单经大赛组委会公示无异议后，上报安徽省大学生创新创业教育办公室，并在安徽省高教网再次进行公示。无异议后，由安徽省教育厅发文公布获奖名单。</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（五）赛前准备</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w:t>
      </w:r>
      <w:r>
        <w:rPr>
          <w:rFonts w:ascii="Times New Roman" w:hAnsi="Times New Roman" w:eastAsia="方正仿宋_GBK" w:cs="Times New Roman"/>
          <w:sz w:val="32"/>
          <w:szCs w:val="32"/>
          <w:shd w:val="clear" w:color="auto" w:fill="FFFFFF"/>
        </w:rPr>
        <w:t>1</w:t>
      </w:r>
      <w:r>
        <w:rPr>
          <w:rFonts w:hint="eastAsia" w:ascii="Times New Roman" w:hAnsi="Times New Roman" w:eastAsia="方正仿宋_GBK" w:cs="Times New Roman"/>
          <w:sz w:val="32"/>
          <w:szCs w:val="32"/>
          <w:shd w:val="clear" w:color="auto" w:fill="FFFFFF"/>
        </w:rPr>
        <w:t>）</w:t>
      </w:r>
      <w:r>
        <w:rPr>
          <w:rFonts w:ascii="Times New Roman" w:hAnsi="Times New Roman" w:eastAsia="方正仿宋_GBK" w:cs="Times New Roman"/>
          <w:sz w:val="32"/>
          <w:szCs w:val="32"/>
          <w:shd w:val="clear" w:color="auto" w:fill="FFFFFF"/>
        </w:rPr>
        <w:t>参赛学校赛事负责人统一填写《院校参赛报名表》（附件1），加盖二级学院（系）公章后，将《院校参赛报名表》扫描件发送至大赛邮箱。大赛统一分配各参赛学校作品递交平台（http://223.240.84.253:81/cmp/）账号及密码。一个学校只分配一个账号。</w:t>
      </w:r>
      <w:r>
        <w:rPr>
          <w:rFonts w:hint="eastAsia" w:ascii="Times New Roman" w:hAnsi="Times New Roman" w:eastAsia="方正仿宋_GBK" w:cs="Times New Roman"/>
          <w:sz w:val="32"/>
          <w:szCs w:val="32"/>
          <w:shd w:val="clear" w:color="auto" w:fill="FFFFFF"/>
        </w:rPr>
        <w:t>（作品递交平台暂定为上述平台，如有变动，组委会将另行通知）</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w:t>
      </w:r>
      <w:r>
        <w:rPr>
          <w:rFonts w:ascii="Times New Roman" w:hAnsi="Times New Roman" w:eastAsia="方正仿宋_GBK" w:cs="Times New Roman"/>
          <w:sz w:val="32"/>
          <w:szCs w:val="32"/>
          <w:shd w:val="clear" w:color="auto" w:fill="FFFFFF"/>
        </w:rPr>
        <w:t>2</w:t>
      </w:r>
      <w:r>
        <w:rPr>
          <w:rFonts w:hint="eastAsia" w:ascii="Times New Roman" w:hAnsi="Times New Roman" w:eastAsia="方正仿宋_GBK" w:cs="Times New Roman"/>
          <w:sz w:val="32"/>
          <w:szCs w:val="32"/>
          <w:shd w:val="clear" w:color="auto" w:fill="FFFFFF"/>
        </w:rPr>
        <w:t>）</w:t>
      </w:r>
      <w:r>
        <w:rPr>
          <w:rFonts w:ascii="Times New Roman" w:hAnsi="Times New Roman" w:eastAsia="方正仿宋_GBK" w:cs="Times New Roman"/>
          <w:sz w:val="32"/>
          <w:szCs w:val="32"/>
          <w:shd w:val="clear" w:color="auto" w:fill="FFFFFF"/>
        </w:rPr>
        <w:t>参赛作品（图片、视频等）及各作品报名表（附件2）、参赛作品著作权许可授权书（附件3）、大赛承诺书（附件4）扫描件PDF，通过大赛平台由参赛者自行注册、上传，再由参赛学校赛事负责人统一审核、报送。请各参赛者按规定格式上传相关文件，否则作品不能正常显示，影响评审。</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八、成绩评定</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（一）评分标准</w:t>
      </w:r>
    </w:p>
    <w:tbl>
      <w:tblPr>
        <w:tblStyle w:val="7"/>
        <w:tblW w:w="8713"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1629"/>
        <w:gridCol w:w="6188"/>
        <w:gridCol w:w="89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62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分项</w:t>
            </w:r>
          </w:p>
        </w:tc>
        <w:tc>
          <w:tcPr>
            <w:tcW w:w="618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细则</w:t>
            </w:r>
          </w:p>
        </w:tc>
        <w:tc>
          <w:tcPr>
            <w:tcW w:w="89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比例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62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554" w:lineRule="exact"/>
              <w:jc w:val="center"/>
              <w:rPr>
                <w:rFonts w:ascii="Times New Roman" w:hAnsi="Times New Roman" w:eastAsia="方正仿宋_GBK" w:cs="Times New Roman"/>
                <w:sz w:val="28"/>
                <w:szCs w:val="28"/>
                <w:shd w:val="clear" w:color="auto" w:fill="FFFFFF"/>
              </w:rPr>
            </w:pPr>
          </w:p>
          <w:p>
            <w:pPr>
              <w:spacing w:line="554" w:lineRule="exact"/>
              <w:jc w:val="center"/>
              <w:rPr>
                <w:rFonts w:ascii="Times New Roman" w:hAnsi="Times New Roman" w:eastAsia="方正仿宋_GBK" w:cs="Times New Roman"/>
                <w:sz w:val="28"/>
                <w:szCs w:val="28"/>
                <w:shd w:val="clear" w:color="auto" w:fill="FFFFFF"/>
              </w:rPr>
            </w:pPr>
            <w:bookmarkStart w:id="1" w:name="_GoBack"/>
            <w:bookmarkEnd w:id="1"/>
            <w:r>
              <w:rPr>
                <w:rFonts w:ascii="Times New Roman" w:hAnsi="Times New Roman" w:eastAsia="方正仿宋_GBK" w:cs="Times New Roman"/>
                <w:sz w:val="28"/>
                <w:szCs w:val="28"/>
                <w:shd w:val="clear" w:color="auto" w:fill="FFFFFF"/>
              </w:rPr>
              <w:t>创</w:t>
            </w:r>
            <w:r>
              <w:rPr>
                <w:rFonts w:hint="eastAsia" w:ascii="Times New Roman" w:hAnsi="Times New Roman" w:eastAsia="方正仿宋_GBK" w:cs="Times New Roman"/>
                <w:sz w:val="28"/>
                <w:szCs w:val="28"/>
                <w:shd w:val="clear" w:color="auto" w:fill="FFFFFF"/>
              </w:rPr>
              <w:t>新</w:t>
            </w:r>
            <w:r>
              <w:rPr>
                <w:rFonts w:ascii="Times New Roman" w:hAnsi="Times New Roman" w:eastAsia="方正仿宋_GBK" w:cs="Times New Roman"/>
                <w:sz w:val="28"/>
                <w:szCs w:val="28"/>
                <w:shd w:val="clear" w:color="auto" w:fill="FFFFFF"/>
              </w:rPr>
              <w:t>性</w:t>
            </w:r>
          </w:p>
        </w:tc>
        <w:tc>
          <w:tcPr>
            <w:tcW w:w="6188" w:type="dxa"/>
            <w:tcBorders>
              <w:top w:val="nil"/>
              <w:left w:val="nil"/>
              <w:bottom w:val="single" w:color="auto" w:sz="8" w:space="0"/>
              <w:right w:val="single" w:color="auto" w:sz="8" w:space="0"/>
            </w:tcBorders>
            <w:tcMar>
              <w:top w:w="0" w:type="dxa"/>
              <w:left w:w="108" w:type="dxa"/>
              <w:bottom w:w="0" w:type="dxa"/>
              <w:right w:w="108" w:type="dxa"/>
            </w:tcMar>
          </w:tcPr>
          <w:p>
            <w:pPr>
              <w:spacing w:line="554" w:lineRule="exact"/>
              <w:rPr>
                <w:rFonts w:ascii="Times New Roman" w:hAnsi="Times New Roman" w:eastAsia="方正仿宋_GBK" w:cs="Times New Roman"/>
                <w:sz w:val="28"/>
                <w:szCs w:val="28"/>
                <w:shd w:val="clear" w:color="auto" w:fill="FFFFFF"/>
              </w:rPr>
            </w:pPr>
            <w:r>
              <w:rPr>
                <w:rFonts w:ascii="Times New Roman" w:hAnsi="Times New Roman" w:eastAsia="方正仿宋_GBK" w:cs="Times New Roman"/>
                <w:sz w:val="28"/>
                <w:szCs w:val="28"/>
                <w:shd w:val="clear" w:color="auto" w:fill="FFFFFF"/>
              </w:rPr>
              <w:t>考察作品的原创性、创新性和独特性，是否打破传统思维，具有新颖的设计理念、表现形式或解决方案</w:t>
            </w:r>
            <w:r>
              <w:rPr>
                <w:rFonts w:hint="eastAsia" w:ascii="Times New Roman" w:hAnsi="Times New Roman" w:eastAsia="方正仿宋_GBK" w:cs="Times New Roman"/>
                <w:sz w:val="28"/>
                <w:szCs w:val="28"/>
                <w:shd w:val="clear" w:color="auto" w:fill="FFFFFF"/>
              </w:rPr>
              <w:t>。</w:t>
            </w:r>
          </w:p>
        </w:tc>
        <w:tc>
          <w:tcPr>
            <w:tcW w:w="896"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30%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62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ascii="Times New Roman" w:hAnsi="Times New Roman" w:eastAsia="方正仿宋_GBK" w:cs="Times New Roman"/>
                <w:sz w:val="28"/>
                <w:szCs w:val="28"/>
                <w:shd w:val="clear" w:color="auto" w:fill="FFFFFF"/>
              </w:rPr>
              <w:t>设计表现</w:t>
            </w:r>
          </w:p>
        </w:tc>
        <w:tc>
          <w:tcPr>
            <w:tcW w:w="6188" w:type="dxa"/>
            <w:tcBorders>
              <w:top w:val="nil"/>
              <w:left w:val="nil"/>
              <w:bottom w:val="single" w:color="auto" w:sz="8" w:space="0"/>
              <w:right w:val="single" w:color="auto" w:sz="8" w:space="0"/>
            </w:tcBorders>
            <w:tcMar>
              <w:top w:w="0" w:type="dxa"/>
              <w:left w:w="108" w:type="dxa"/>
              <w:bottom w:w="0" w:type="dxa"/>
              <w:right w:w="108" w:type="dxa"/>
            </w:tcMar>
          </w:tcPr>
          <w:p>
            <w:pPr>
              <w:spacing w:line="554" w:lineRule="exact"/>
              <w:rPr>
                <w:rFonts w:ascii="Times New Roman" w:hAnsi="Times New Roman" w:eastAsia="方正仿宋_GBK" w:cs="Times New Roman"/>
                <w:sz w:val="28"/>
                <w:szCs w:val="28"/>
                <w:shd w:val="clear" w:color="auto" w:fill="FFFFFF"/>
              </w:rPr>
            </w:pPr>
            <w:r>
              <w:rPr>
                <w:rFonts w:ascii="Times New Roman" w:hAnsi="Times New Roman" w:eastAsia="方正仿宋_GBK" w:cs="Times New Roman"/>
                <w:sz w:val="28"/>
                <w:szCs w:val="28"/>
                <w:shd w:val="clear" w:color="auto" w:fill="FFFFFF"/>
              </w:rPr>
              <w:t>考察设计的完整性和呈现效果</w:t>
            </w:r>
            <w:r>
              <w:rPr>
                <w:rFonts w:hint="eastAsia" w:ascii="Times New Roman" w:hAnsi="Times New Roman" w:eastAsia="方正仿宋_GBK" w:cs="Times New Roman"/>
                <w:sz w:val="28"/>
                <w:szCs w:val="28"/>
                <w:shd w:val="clear" w:color="auto" w:fill="FFFFFF"/>
              </w:rPr>
              <w:t>。</w:t>
            </w:r>
          </w:p>
        </w:tc>
        <w:tc>
          <w:tcPr>
            <w:tcW w:w="896"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30%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62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ascii="Times New Roman" w:hAnsi="Times New Roman" w:eastAsia="方正仿宋_GBK" w:cs="Times New Roman"/>
                <w:sz w:val="28"/>
                <w:szCs w:val="28"/>
                <w:shd w:val="clear" w:color="auto" w:fill="FFFFFF"/>
              </w:rPr>
              <w:t>主题契合度</w:t>
            </w:r>
          </w:p>
        </w:tc>
        <w:tc>
          <w:tcPr>
            <w:tcW w:w="6188" w:type="dxa"/>
            <w:tcBorders>
              <w:top w:val="nil"/>
              <w:left w:val="nil"/>
              <w:bottom w:val="single" w:color="auto" w:sz="8" w:space="0"/>
              <w:right w:val="single" w:color="auto" w:sz="8" w:space="0"/>
            </w:tcBorders>
            <w:tcMar>
              <w:top w:w="0" w:type="dxa"/>
              <w:left w:w="108" w:type="dxa"/>
              <w:bottom w:w="0" w:type="dxa"/>
              <w:right w:w="108" w:type="dxa"/>
            </w:tcMar>
          </w:tcPr>
          <w:p>
            <w:pPr>
              <w:spacing w:line="554" w:lineRule="exact"/>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考察</w:t>
            </w:r>
            <w:r>
              <w:rPr>
                <w:rFonts w:ascii="Times New Roman" w:hAnsi="Times New Roman" w:eastAsia="方正仿宋_GBK" w:cs="Times New Roman"/>
                <w:sz w:val="28"/>
                <w:szCs w:val="28"/>
                <w:shd w:val="clear" w:color="auto" w:fill="FFFFFF"/>
              </w:rPr>
              <w:t>作品</w:t>
            </w:r>
            <w:r>
              <w:rPr>
                <w:rFonts w:hint="eastAsia" w:ascii="Times New Roman" w:hAnsi="Times New Roman" w:eastAsia="方正仿宋_GBK" w:cs="Times New Roman"/>
                <w:sz w:val="28"/>
                <w:szCs w:val="28"/>
                <w:shd w:val="clear" w:color="auto" w:fill="FFFFFF"/>
              </w:rPr>
              <w:t>是否</w:t>
            </w:r>
            <w:r>
              <w:rPr>
                <w:rFonts w:ascii="Times New Roman" w:hAnsi="Times New Roman" w:eastAsia="方正仿宋_GBK" w:cs="Times New Roman"/>
                <w:sz w:val="28"/>
                <w:szCs w:val="28"/>
                <w:shd w:val="clear" w:color="auto" w:fill="FFFFFF"/>
              </w:rPr>
              <w:t>紧扣</w:t>
            </w:r>
            <w:r>
              <w:rPr>
                <w:rFonts w:hint="eastAsia" w:ascii="Times New Roman" w:hAnsi="Times New Roman" w:eastAsia="方正仿宋_GBK" w:cs="Times New Roman"/>
                <w:sz w:val="28"/>
                <w:szCs w:val="28"/>
                <w:shd w:val="clear" w:color="auto" w:fill="FFFFFF"/>
              </w:rPr>
              <w:t>赛道</w:t>
            </w:r>
            <w:r>
              <w:rPr>
                <w:rFonts w:ascii="Times New Roman" w:hAnsi="Times New Roman" w:eastAsia="方正仿宋_GBK" w:cs="Times New Roman"/>
                <w:sz w:val="28"/>
                <w:szCs w:val="28"/>
                <w:shd w:val="clear" w:color="auto" w:fill="FFFFFF"/>
              </w:rPr>
              <w:t>主题，设计理念、表现内容</w:t>
            </w:r>
            <w:r>
              <w:rPr>
                <w:rFonts w:hint="eastAsia" w:ascii="Times New Roman" w:hAnsi="Times New Roman" w:eastAsia="方正仿宋_GBK" w:cs="Times New Roman"/>
                <w:sz w:val="28"/>
                <w:szCs w:val="28"/>
                <w:shd w:val="clear" w:color="auto" w:fill="FFFFFF"/>
              </w:rPr>
              <w:t>是否</w:t>
            </w:r>
            <w:r>
              <w:rPr>
                <w:rFonts w:ascii="Times New Roman" w:hAnsi="Times New Roman" w:eastAsia="方正仿宋_GBK" w:cs="Times New Roman"/>
                <w:sz w:val="28"/>
                <w:szCs w:val="28"/>
                <w:shd w:val="clear" w:color="auto" w:fill="FFFFFF"/>
              </w:rPr>
              <w:t>能准确传递主题内涵，同时结合主题体现正向价值导向。</w:t>
            </w:r>
          </w:p>
        </w:tc>
        <w:tc>
          <w:tcPr>
            <w:tcW w:w="896"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62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ascii="Times New Roman" w:hAnsi="Times New Roman" w:eastAsia="方正仿宋_GBK" w:cs="Times New Roman"/>
                <w:sz w:val="28"/>
                <w:szCs w:val="28"/>
                <w:shd w:val="clear" w:color="auto" w:fill="FFFFFF"/>
              </w:rPr>
              <w:t>可行性</w:t>
            </w:r>
          </w:p>
        </w:tc>
        <w:tc>
          <w:tcPr>
            <w:tcW w:w="6188" w:type="dxa"/>
            <w:tcBorders>
              <w:top w:val="nil"/>
              <w:left w:val="nil"/>
              <w:bottom w:val="single" w:color="auto" w:sz="8" w:space="0"/>
              <w:right w:val="single" w:color="auto" w:sz="8" w:space="0"/>
            </w:tcBorders>
            <w:tcMar>
              <w:top w:w="0" w:type="dxa"/>
              <w:left w:w="108" w:type="dxa"/>
              <w:bottom w:w="0" w:type="dxa"/>
              <w:right w:w="108" w:type="dxa"/>
            </w:tcMar>
          </w:tcPr>
          <w:p>
            <w:pPr>
              <w:spacing w:line="554" w:lineRule="exact"/>
              <w:rPr>
                <w:rFonts w:ascii="Times New Roman" w:hAnsi="Times New Roman" w:eastAsia="方正仿宋_GBK" w:cs="Times New Roman"/>
                <w:sz w:val="28"/>
                <w:szCs w:val="28"/>
                <w:shd w:val="clear" w:color="auto" w:fill="FFFFFF"/>
              </w:rPr>
            </w:pPr>
            <w:r>
              <w:rPr>
                <w:rFonts w:ascii="Times New Roman" w:hAnsi="Times New Roman" w:eastAsia="方正仿宋_GBK" w:cs="Times New Roman"/>
                <w:sz w:val="28"/>
                <w:szCs w:val="28"/>
                <w:shd w:val="clear" w:color="auto" w:fill="FFFFFF"/>
              </w:rPr>
              <w:t>考察作品的实际应用价值、落地可行性，是否符合现实场景需求，能否解决具体问题</w:t>
            </w:r>
            <w:r>
              <w:rPr>
                <w:rFonts w:hint="eastAsia" w:ascii="Times New Roman" w:hAnsi="Times New Roman" w:eastAsia="方正仿宋_GBK" w:cs="Times New Roman"/>
                <w:sz w:val="28"/>
                <w:szCs w:val="28"/>
                <w:shd w:val="clear" w:color="auto" w:fill="FFFFFF"/>
              </w:rPr>
              <w:t>，并有较大的市场应用前景和商业价值。</w:t>
            </w:r>
          </w:p>
        </w:tc>
        <w:tc>
          <w:tcPr>
            <w:tcW w:w="896"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554" w:lineRule="exact"/>
              <w:jc w:val="center"/>
              <w:rPr>
                <w:rFonts w:ascii="Times New Roman" w:hAnsi="Times New Roman" w:eastAsia="方正仿宋_GBK" w:cs="Times New Roman"/>
                <w:sz w:val="28"/>
                <w:szCs w:val="28"/>
                <w:shd w:val="clear" w:color="auto" w:fill="FFFFFF"/>
              </w:rPr>
            </w:pPr>
            <w:r>
              <w:rPr>
                <w:rFonts w:hint="eastAsia" w:ascii="Times New Roman" w:hAnsi="Times New Roman" w:eastAsia="方正仿宋_GBK" w:cs="Times New Roman"/>
                <w:sz w:val="28"/>
                <w:szCs w:val="28"/>
                <w:shd w:val="clear" w:color="auto" w:fill="FFFFFF"/>
              </w:rPr>
              <w:t>20%</w:t>
            </w:r>
          </w:p>
        </w:tc>
      </w:tr>
    </w:tbl>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（二）评分方法</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（1）在专家委员会领导下，由多名评审专家负责作品成绩评定工作，并上报组织委员会并对比赛结果作最终裁定。</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（2）各评审组按评审专家评审分数的平均值对本组作品进行由高到低排序。</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（3）作品采用匿名评审方式，所有参赛资料不得出现作者姓名、学校、指导教师等信息，否则将取消其参赛资格。</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九、奖项设定</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原则上按照参赛组别、类别作品数量的7%、13%、20%设立一、二、三等奖，按四舍五入确定具体名额。优秀组织奖不超过15%，优秀指导教师奖仅颁发给一等奖作品的第一指导教师。</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十、赛项安全</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大赛组委会采取切实有效措施保证竞赛期间各项工作平稳有序开展，安全圆满完成。</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十一、竞赛须知</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（一）参赛队须知</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参赛队提交的作品须为队内成员原创设计成果，严禁由其他单位或个人代创，不得抄袭、剽窃他人作品或窃取商业机密，若引发知识产权、版权等相关纠纷，由参赛队自行承担全部责任。</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（1）联合创作的作品，所有署名作者须实际参与作品创作过程，未参与创作的人员不得列为合作作者。如评审需要，参赛队需如实提供所有作者参与创作的证明材料。</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（2）若参赛作品存在违反法律法规、含不良内容、涉嫌侵权或舞弊等情况，大赛组委会有权取消参赛队参赛资格，并索回已颁发的相关奖项，参赛队需承担相应后果。</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（二）领队和指导教师须知</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（1）领队及指导教师需对参赛队的作品原创性、合规性进行严格审核，引导学生遵守知识产权相关规定，杜绝抄袭、代创等违规行为，对作品真实性承担指导监督责任。</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（2）需协助组委会核实联合创作作品的作者参与情况，确保署名作者均实际参与创作，无虚假署名、挂名等现象。</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（3）若所指导的参赛队出现违规情况，需配合组委会开展调查核实工作，协助处理相关后续事宜，同时承担相应的指导管理责任。</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（三）参赛选手须知</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（1)参赛选手必须保证参赛作品为本人原创，严禁抄袭、剽窃他人作品，不得窃取商业机密或委托第三方代创，若发生知识产权或版权纠纷，由参赛选手自行承担全部法律责任及相关损失。</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（2）联合创作作品的所有参赛选手均需实际参与创作，未参与创作的个人不得作为合作作者署名，选手需对自身创作行为及作品内容真实性负责。</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（3）参赛作品不得包含与国家法律法规相抵触、色情、暴力、血腥或其他不良思想的内容，不得存在临摹、剽窃等侵权行为，不得有舞弊行为。</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（4）若违反上述规定，大赛组委会有权取消参赛选手的参赛资格、收回奖项，情节严重的将予以通报，参赛选手需承担相应责任。</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（四）工作人员须知</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（1）严格遵守大赛规则及组委会相关工作要求，公平、公正、公开地开展作品审核、资格审查、评审组织等工作，不得泄露参赛作品相关信息、评审过程及结果。</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（2）在工作中发现参赛作品存在抄袭剽窃、代创、违规内容、舞弊等情况，需及时向组委会汇报，并按规定流程协助核实处理，不得隐瞒或纵容违规行为。</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（3）需妥善保管参赛作品及相关材料，维护赛事秩序，保障竞赛活动公平公正、顺利开展，自觉遵守工作纪律，恪守职业道德。</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十二、申诉与仲裁</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（一）申诉</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（1）本赛项在比赛过程中若出现有失公正或有关人员违规等现象，申诉应在评审工作期间或拟获奖公示期内提出，超过时效将不予受理。</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（2）申诉时，应向大赛组委会仲裁委员会递交书面申诉报告。申诉报告应对申诉依据与理由等进行充分、实事求是的阐述并提供相应证据。若事实依据不充分、仅凭主观臆断的申诉将不予受理。</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（3）申诉报告须有参赛作品的全部作者和指导教师的签名，并由参赛院校赛事负责人统一递交。</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（二）仲裁</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（1）仲裁委员会收到书面申诉报告后，应根据申诉事由进行审查，3个工作日内通知申诉方，告知申诉处理结果。如不受理申诉，要说明理由。</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（2）申诉人不得无故拒不接受处理结果，不允许采取过激行为刁难工作人员，否则视为放弃申诉。</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（3）仲裁委员会的仲裁结果为最终结果。</w:t>
      </w:r>
    </w:p>
    <w:p>
      <w:pPr>
        <w:spacing w:line="554" w:lineRule="exact"/>
        <w:ind w:firstLine="566" w:firstLineChars="177"/>
        <w:rPr>
          <w:rFonts w:hint="eastAsia"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十三、竞赛宣传</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大赛相关信息由大赛官网及安徽省高教处统一对外发布。本通知及大赛期间相关事宜由秘书处负责解释。未尽事宜，可与大赛秘书处联系。</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十四、联系方式</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组委会秘书处联系方式：</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刘老师 17718215356</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地址：安徽省芜湖市北京中路安徽工程大学设计学院安徽省大学生创意设计大赛组委会</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电子邮箱：937524761@qq.com</w:t>
      </w:r>
    </w:p>
    <w:p>
      <w:pPr>
        <w:spacing w:line="554" w:lineRule="exact"/>
        <w:ind w:firstLine="566" w:firstLineChars="177"/>
        <w:rPr>
          <w:rFonts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rPr>
        <w:t>各院校赛事负责人QQ群：1081730397</w:t>
      </w:r>
    </w:p>
    <w:p>
      <w:pPr>
        <w:spacing w:line="554" w:lineRule="exact"/>
        <w:ind w:firstLine="566" w:firstLineChars="177"/>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大赛网址：</w:t>
      </w:r>
      <w:r>
        <w:fldChar w:fldCharType="begin"/>
      </w:r>
      <w:r>
        <w:instrText xml:space="preserve"> HYPERLINK "http://223.240.84.253:81/cmp/" </w:instrText>
      </w:r>
      <w:r>
        <w:fldChar w:fldCharType="separate"/>
      </w:r>
      <w:r>
        <w:rPr>
          <w:rStyle w:val="13"/>
          <w:rFonts w:ascii="Times New Roman" w:hAnsi="Times New Roman" w:eastAsia="方正仿宋_GBK" w:cs="Times New Roman"/>
          <w:sz w:val="32"/>
          <w:szCs w:val="32"/>
          <w:shd w:val="clear" w:color="auto" w:fill="FFFFFF"/>
        </w:rPr>
        <w:t>http://223.240.84.253:81/cmp/</w:t>
      </w:r>
      <w:r>
        <w:rPr>
          <w:rStyle w:val="13"/>
          <w:rFonts w:ascii="Times New Roman" w:hAnsi="Times New Roman" w:eastAsia="方正仿宋_GBK" w:cs="Times New Roman"/>
          <w:sz w:val="32"/>
          <w:szCs w:val="32"/>
          <w:shd w:val="clear" w:color="auto" w:fill="FFFFFF"/>
        </w:rPr>
        <w:fldChar w:fldCharType="end"/>
      </w:r>
    </w:p>
    <w:p>
      <w:pPr>
        <w:spacing w:line="500" w:lineRule="exact"/>
        <w:ind w:firstLine="608" w:firstLineChars="200"/>
        <w:rPr>
          <w:rFonts w:ascii="Times New Roman" w:hAnsi="Times New Roman" w:eastAsia="方正仿宋_GBK" w:cs="Times New Roman"/>
          <w:w w:val="95"/>
          <w:sz w:val="32"/>
          <w:szCs w:val="32"/>
        </w:rPr>
      </w:pPr>
      <w:bookmarkStart w:id="0" w:name="OLE_LINK9"/>
      <w:r>
        <w:rPr>
          <w:rFonts w:ascii="Times New Roman" w:hAnsi="Times New Roman" w:eastAsia="方正仿宋_GBK" w:cs="Times New Roman"/>
          <w:w w:val="95"/>
          <w:sz w:val="32"/>
          <w:szCs w:val="32"/>
        </w:rPr>
        <w:t>规程涉及的相关附件请登录安徽省教育厅高等教育网下载（https://jyt.ah.gov.cn/tsdw/gdjyc/dxsxkhjnjs/index.html）。</w:t>
      </w:r>
    </w:p>
    <w:bookmarkEnd w:id="0"/>
    <w:p>
      <w:pPr>
        <w:spacing w:line="554" w:lineRule="exact"/>
        <w:ind w:firstLine="566" w:firstLineChars="177"/>
        <w:rPr>
          <w:rFonts w:ascii="Times New Roman" w:hAnsi="Times New Roman" w:eastAsia="方正仿宋_GBK" w:cs="Times New Roman"/>
          <w:sz w:val="32"/>
          <w:szCs w:val="32"/>
          <w:shd w:val="clear" w:color="auto" w:fill="FFFFFF"/>
        </w:rPr>
      </w:pPr>
    </w:p>
    <w:p>
      <w:pPr>
        <w:spacing w:line="554" w:lineRule="exact"/>
        <w:ind w:firstLine="566" w:firstLineChars="177"/>
        <w:rPr>
          <w:rFonts w:ascii="Times New Roman" w:hAnsi="Times New Roman" w:eastAsia="方正仿宋_GBK" w:cs="Times New Roman"/>
          <w:sz w:val="32"/>
          <w:szCs w:val="32"/>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E1YjY4YzJlYmM1N2Y1MDYyY2Y1OTI1OTlmYTMwYjMifQ=="/>
  </w:docVars>
  <w:rsids>
    <w:rsidRoot w:val="00835BA2"/>
    <w:rsid w:val="000678D3"/>
    <w:rsid w:val="00090017"/>
    <w:rsid w:val="000A4D6A"/>
    <w:rsid w:val="00121F3C"/>
    <w:rsid w:val="001E2473"/>
    <w:rsid w:val="00245237"/>
    <w:rsid w:val="002B6784"/>
    <w:rsid w:val="00332F78"/>
    <w:rsid w:val="00547EBD"/>
    <w:rsid w:val="00587750"/>
    <w:rsid w:val="005C259E"/>
    <w:rsid w:val="00676726"/>
    <w:rsid w:val="006830D8"/>
    <w:rsid w:val="007840B9"/>
    <w:rsid w:val="007D671E"/>
    <w:rsid w:val="007F6EE3"/>
    <w:rsid w:val="0080167C"/>
    <w:rsid w:val="00813EF0"/>
    <w:rsid w:val="00835BA2"/>
    <w:rsid w:val="008E36BF"/>
    <w:rsid w:val="008F34FB"/>
    <w:rsid w:val="00987283"/>
    <w:rsid w:val="009A59AE"/>
    <w:rsid w:val="009B1895"/>
    <w:rsid w:val="009E11E2"/>
    <w:rsid w:val="00A12437"/>
    <w:rsid w:val="00A216C0"/>
    <w:rsid w:val="00A35737"/>
    <w:rsid w:val="00A5171A"/>
    <w:rsid w:val="00AF7426"/>
    <w:rsid w:val="00B0196C"/>
    <w:rsid w:val="00BA33B5"/>
    <w:rsid w:val="00BA6C50"/>
    <w:rsid w:val="00BB51B6"/>
    <w:rsid w:val="00BD1E2F"/>
    <w:rsid w:val="00C1209F"/>
    <w:rsid w:val="00C41A51"/>
    <w:rsid w:val="00C70458"/>
    <w:rsid w:val="00C71885"/>
    <w:rsid w:val="00D027A8"/>
    <w:rsid w:val="00D9309F"/>
    <w:rsid w:val="00E4554C"/>
    <w:rsid w:val="00EC0C33"/>
    <w:rsid w:val="00FA0BEC"/>
    <w:rsid w:val="02516A62"/>
    <w:rsid w:val="03456EEA"/>
    <w:rsid w:val="03BB21D9"/>
    <w:rsid w:val="048617AB"/>
    <w:rsid w:val="04C256F2"/>
    <w:rsid w:val="062F07EF"/>
    <w:rsid w:val="06C54CB0"/>
    <w:rsid w:val="076A28C3"/>
    <w:rsid w:val="07E6469F"/>
    <w:rsid w:val="080E4599"/>
    <w:rsid w:val="08610146"/>
    <w:rsid w:val="092D4A1C"/>
    <w:rsid w:val="098C163D"/>
    <w:rsid w:val="09AD0696"/>
    <w:rsid w:val="0BF24799"/>
    <w:rsid w:val="0C2B3807"/>
    <w:rsid w:val="0C364685"/>
    <w:rsid w:val="0C767832"/>
    <w:rsid w:val="0C981B18"/>
    <w:rsid w:val="0E8326A4"/>
    <w:rsid w:val="103F0C13"/>
    <w:rsid w:val="10FB57C6"/>
    <w:rsid w:val="110E5BD1"/>
    <w:rsid w:val="11C11785"/>
    <w:rsid w:val="12624518"/>
    <w:rsid w:val="12B02035"/>
    <w:rsid w:val="139C4BA9"/>
    <w:rsid w:val="160E3FB3"/>
    <w:rsid w:val="16C90EF1"/>
    <w:rsid w:val="17920BDE"/>
    <w:rsid w:val="185D7980"/>
    <w:rsid w:val="18BF1EA7"/>
    <w:rsid w:val="19BF56CB"/>
    <w:rsid w:val="1B793BA7"/>
    <w:rsid w:val="1BD8725A"/>
    <w:rsid w:val="1C860706"/>
    <w:rsid w:val="1CCA3D1E"/>
    <w:rsid w:val="1FA0658E"/>
    <w:rsid w:val="1FF365E3"/>
    <w:rsid w:val="20097E44"/>
    <w:rsid w:val="20355EF4"/>
    <w:rsid w:val="206375BB"/>
    <w:rsid w:val="2084558F"/>
    <w:rsid w:val="22330628"/>
    <w:rsid w:val="23F6784B"/>
    <w:rsid w:val="246456B0"/>
    <w:rsid w:val="249016E6"/>
    <w:rsid w:val="258B17E1"/>
    <w:rsid w:val="25D33A65"/>
    <w:rsid w:val="262F5BC1"/>
    <w:rsid w:val="269E759F"/>
    <w:rsid w:val="273D7068"/>
    <w:rsid w:val="276237A8"/>
    <w:rsid w:val="287C6359"/>
    <w:rsid w:val="29541522"/>
    <w:rsid w:val="2CC6515A"/>
    <w:rsid w:val="2D4F33A1"/>
    <w:rsid w:val="2D6642A6"/>
    <w:rsid w:val="2D6D7CCB"/>
    <w:rsid w:val="2EDF0BF9"/>
    <w:rsid w:val="2F436F36"/>
    <w:rsid w:val="2F4B5DEA"/>
    <w:rsid w:val="2F8758D1"/>
    <w:rsid w:val="2FF426C3"/>
    <w:rsid w:val="324E00CB"/>
    <w:rsid w:val="33D97E69"/>
    <w:rsid w:val="354D6564"/>
    <w:rsid w:val="35664722"/>
    <w:rsid w:val="35747D9A"/>
    <w:rsid w:val="364F18A8"/>
    <w:rsid w:val="36784D3C"/>
    <w:rsid w:val="36F8344F"/>
    <w:rsid w:val="37284F6C"/>
    <w:rsid w:val="37973253"/>
    <w:rsid w:val="379854B1"/>
    <w:rsid w:val="38550CF9"/>
    <w:rsid w:val="3B057795"/>
    <w:rsid w:val="3BB05953"/>
    <w:rsid w:val="3D0D04B9"/>
    <w:rsid w:val="42756DEE"/>
    <w:rsid w:val="43E91A02"/>
    <w:rsid w:val="45C53562"/>
    <w:rsid w:val="46571E12"/>
    <w:rsid w:val="468E6050"/>
    <w:rsid w:val="473F5C9B"/>
    <w:rsid w:val="475303D3"/>
    <w:rsid w:val="47842850"/>
    <w:rsid w:val="49DC7913"/>
    <w:rsid w:val="4AEE0EBC"/>
    <w:rsid w:val="4B0233A9"/>
    <w:rsid w:val="4BB02E05"/>
    <w:rsid w:val="4E2646EA"/>
    <w:rsid w:val="4E712D20"/>
    <w:rsid w:val="50070C2F"/>
    <w:rsid w:val="506765BF"/>
    <w:rsid w:val="5352679A"/>
    <w:rsid w:val="5359464E"/>
    <w:rsid w:val="53712911"/>
    <w:rsid w:val="53800565"/>
    <w:rsid w:val="544A2D9F"/>
    <w:rsid w:val="547B2D6F"/>
    <w:rsid w:val="54D7233D"/>
    <w:rsid w:val="579A6BB1"/>
    <w:rsid w:val="580D20AF"/>
    <w:rsid w:val="58173388"/>
    <w:rsid w:val="581C7BB9"/>
    <w:rsid w:val="58C12AF6"/>
    <w:rsid w:val="5A044A65"/>
    <w:rsid w:val="5A325AE5"/>
    <w:rsid w:val="5B7E2F26"/>
    <w:rsid w:val="5C6F40F8"/>
    <w:rsid w:val="5D873CCE"/>
    <w:rsid w:val="5DA60D36"/>
    <w:rsid w:val="5E420235"/>
    <w:rsid w:val="5F734197"/>
    <w:rsid w:val="5FCD1D80"/>
    <w:rsid w:val="5FE00DB4"/>
    <w:rsid w:val="62754BF0"/>
    <w:rsid w:val="632B7B8E"/>
    <w:rsid w:val="632C4B23"/>
    <w:rsid w:val="639F57E1"/>
    <w:rsid w:val="644663E9"/>
    <w:rsid w:val="644C25DC"/>
    <w:rsid w:val="656E0241"/>
    <w:rsid w:val="65AD7AA2"/>
    <w:rsid w:val="65F23162"/>
    <w:rsid w:val="66310536"/>
    <w:rsid w:val="664834BA"/>
    <w:rsid w:val="666E5281"/>
    <w:rsid w:val="668A19DC"/>
    <w:rsid w:val="66E25DA3"/>
    <w:rsid w:val="670B048A"/>
    <w:rsid w:val="67EA6A44"/>
    <w:rsid w:val="684B03AB"/>
    <w:rsid w:val="68C161FA"/>
    <w:rsid w:val="69931E41"/>
    <w:rsid w:val="6ABA1968"/>
    <w:rsid w:val="6B086362"/>
    <w:rsid w:val="6B364A70"/>
    <w:rsid w:val="6BF52213"/>
    <w:rsid w:val="6D090170"/>
    <w:rsid w:val="6D362B95"/>
    <w:rsid w:val="6D5E317C"/>
    <w:rsid w:val="6DDE33AA"/>
    <w:rsid w:val="6E341855"/>
    <w:rsid w:val="6EAC6A24"/>
    <w:rsid w:val="6EC14FC1"/>
    <w:rsid w:val="6FBB2BF0"/>
    <w:rsid w:val="70312F1B"/>
    <w:rsid w:val="706701B3"/>
    <w:rsid w:val="71BF242C"/>
    <w:rsid w:val="72982E82"/>
    <w:rsid w:val="73166260"/>
    <w:rsid w:val="739D4628"/>
    <w:rsid w:val="75844FB0"/>
    <w:rsid w:val="75931BF3"/>
    <w:rsid w:val="75A37343"/>
    <w:rsid w:val="764C0B96"/>
    <w:rsid w:val="77404AFF"/>
    <w:rsid w:val="77BD7908"/>
    <w:rsid w:val="77F12FB3"/>
    <w:rsid w:val="782146A4"/>
    <w:rsid w:val="78D24798"/>
    <w:rsid w:val="7975087C"/>
    <w:rsid w:val="7B8C7756"/>
    <w:rsid w:val="7BF25034"/>
    <w:rsid w:val="7BF94B28"/>
    <w:rsid w:val="7C517901"/>
    <w:rsid w:val="7E3F3803"/>
    <w:rsid w:val="7EF24F07"/>
    <w:rsid w:val="7FBC0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7"/>
    <w:qFormat/>
    <w:uiPriority w:val="0"/>
    <w:pPr>
      <w:tabs>
        <w:tab w:val="center" w:pos="4153"/>
        <w:tab w:val="right" w:pos="8306"/>
      </w:tabs>
      <w:snapToGrid w:val="0"/>
      <w:jc w:val="left"/>
    </w:pPr>
    <w:rPr>
      <w:sz w:val="18"/>
      <w:szCs w:val="18"/>
    </w:rPr>
  </w:style>
  <w:style w:type="paragraph" w:styleId="5">
    <w:name w:val="header"/>
    <w:basedOn w:val="1"/>
    <w:link w:val="26"/>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bCs/>
    </w:rPr>
  </w:style>
  <w:style w:type="character" w:styleId="10">
    <w:name w:val="FollowedHyperlink"/>
    <w:basedOn w:val="8"/>
    <w:qFormat/>
    <w:uiPriority w:val="0"/>
    <w:rPr>
      <w:color w:val="333333"/>
      <w:u w:val="none"/>
    </w:rPr>
  </w:style>
  <w:style w:type="character" w:styleId="11">
    <w:name w:val="HTML Definition"/>
    <w:basedOn w:val="8"/>
    <w:qFormat/>
    <w:uiPriority w:val="0"/>
    <w:rPr>
      <w:i/>
      <w:iCs/>
    </w:rPr>
  </w:style>
  <w:style w:type="character" w:styleId="12">
    <w:name w:val="HTML Acronym"/>
    <w:basedOn w:val="8"/>
    <w:qFormat/>
    <w:uiPriority w:val="0"/>
  </w:style>
  <w:style w:type="character" w:styleId="13">
    <w:name w:val="Hyperlink"/>
    <w:basedOn w:val="8"/>
    <w:qFormat/>
    <w:uiPriority w:val="0"/>
    <w:rPr>
      <w:color w:val="333333"/>
      <w:u w:val="none"/>
    </w:rPr>
  </w:style>
  <w:style w:type="character" w:styleId="14">
    <w:name w:val="HTML Code"/>
    <w:basedOn w:val="8"/>
    <w:qFormat/>
    <w:uiPriority w:val="0"/>
    <w:rPr>
      <w:rFonts w:hint="default" w:ascii="monospace" w:hAnsi="monospace" w:eastAsia="monospace" w:cs="monospace"/>
      <w:sz w:val="21"/>
      <w:szCs w:val="21"/>
    </w:rPr>
  </w:style>
  <w:style w:type="character" w:styleId="15">
    <w:name w:val="HTML Keyboard"/>
    <w:basedOn w:val="8"/>
    <w:qFormat/>
    <w:uiPriority w:val="0"/>
    <w:rPr>
      <w:rFonts w:hint="default" w:ascii="monospace" w:hAnsi="monospace" w:eastAsia="monospace" w:cs="monospace"/>
      <w:sz w:val="21"/>
      <w:szCs w:val="21"/>
    </w:rPr>
  </w:style>
  <w:style w:type="character" w:styleId="16">
    <w:name w:val="HTML Sample"/>
    <w:basedOn w:val="8"/>
    <w:qFormat/>
    <w:uiPriority w:val="0"/>
    <w:rPr>
      <w:rFonts w:ascii="monospace" w:hAnsi="monospace" w:eastAsia="monospace" w:cs="monospace"/>
      <w:sz w:val="21"/>
      <w:szCs w:val="21"/>
    </w:rPr>
  </w:style>
  <w:style w:type="character" w:customStyle="1" w:styleId="17">
    <w:name w:val="msg-box6"/>
    <w:basedOn w:val="8"/>
    <w:qFormat/>
    <w:uiPriority w:val="0"/>
  </w:style>
  <w:style w:type="character" w:customStyle="1" w:styleId="18">
    <w:name w:val="left"/>
    <w:basedOn w:val="8"/>
    <w:qFormat/>
    <w:uiPriority w:val="0"/>
  </w:style>
  <w:style w:type="character" w:customStyle="1" w:styleId="19">
    <w:name w:val="c2"/>
    <w:basedOn w:val="8"/>
    <w:qFormat/>
    <w:uiPriority w:val="0"/>
  </w:style>
  <w:style w:type="character" w:customStyle="1" w:styleId="20">
    <w:name w:val="buvis"/>
    <w:basedOn w:val="8"/>
    <w:qFormat/>
    <w:uiPriority w:val="0"/>
    <w:rPr>
      <w:color w:val="999999"/>
    </w:rPr>
  </w:style>
  <w:style w:type="character" w:customStyle="1" w:styleId="21">
    <w:name w:val="buvis1"/>
    <w:basedOn w:val="8"/>
    <w:qFormat/>
    <w:uiPriority w:val="0"/>
    <w:rPr>
      <w:color w:val="CC0000"/>
    </w:rPr>
  </w:style>
  <w:style w:type="character" w:customStyle="1" w:styleId="22">
    <w:name w:val="c3"/>
    <w:basedOn w:val="8"/>
    <w:qFormat/>
    <w:uiPriority w:val="0"/>
  </w:style>
  <w:style w:type="character" w:customStyle="1" w:styleId="23">
    <w:name w:val="tit42"/>
    <w:basedOn w:val="8"/>
    <w:qFormat/>
    <w:uiPriority w:val="0"/>
    <w:rPr>
      <w:b/>
      <w:bCs/>
      <w:color w:val="333333"/>
      <w:sz w:val="24"/>
      <w:szCs w:val="24"/>
    </w:rPr>
  </w:style>
  <w:style w:type="character" w:customStyle="1" w:styleId="24">
    <w:name w:val="c1"/>
    <w:basedOn w:val="8"/>
    <w:qFormat/>
    <w:uiPriority w:val="0"/>
  </w:style>
  <w:style w:type="character" w:customStyle="1" w:styleId="25">
    <w:name w:val="tit"/>
    <w:basedOn w:val="8"/>
    <w:qFormat/>
    <w:uiPriority w:val="0"/>
    <w:rPr>
      <w:b/>
      <w:bCs/>
      <w:color w:val="333333"/>
      <w:sz w:val="24"/>
      <w:szCs w:val="24"/>
    </w:rPr>
  </w:style>
  <w:style w:type="character" w:customStyle="1" w:styleId="26">
    <w:name w:val="页眉 字符"/>
    <w:basedOn w:val="8"/>
    <w:link w:val="5"/>
    <w:qFormat/>
    <w:uiPriority w:val="0"/>
    <w:rPr>
      <w:rFonts w:asciiTheme="minorHAnsi" w:hAnsiTheme="minorHAnsi" w:eastAsiaTheme="minorEastAsia" w:cstheme="minorBidi"/>
      <w:kern w:val="2"/>
      <w:sz w:val="18"/>
      <w:szCs w:val="18"/>
    </w:rPr>
  </w:style>
  <w:style w:type="character" w:customStyle="1" w:styleId="27">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2555</Words>
  <Characters>2812</Characters>
  <Lines>165</Lines>
  <Paragraphs>157</Paragraphs>
  <TotalTime>5</TotalTime>
  <ScaleCrop>false</ScaleCrop>
  <LinksUpToDate>false</LinksUpToDate>
  <CharactersWithSpaces>5210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2026-06-10T13:14:00Z</dcterms:created>
  <dc:creator>Administrator</dc:creator>
  <cp:lastModifiedBy>任雯君</cp:lastModifiedBy>
  <cp:lastPrinted>2025-03-21T10:00:00Z</cp:lastPrinted>
  <dcterms:modified xsi:type="dcterms:W3CDTF">2026-06-11T02:20:49Z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KSOTemplateDocerSaveRecord">
    <vt:lpwstr>eyJoZGlkIjoiODViY2JkMjU3NGYzZTEwMzZmMGFkZWViYmNkYWU3NDIiLCJ1c2VySWQiOiIyMzcyMTM0NzEifQ==</vt:lpwstr>
  </property>
  <property fmtid="{D5CDD505-2E9C-101B-9397-08002B2CF9AE}" pid="4" name="ICV">
    <vt:lpwstr>DF0F8B45293B48C3ACE3CC75E8FF9C20</vt:lpwstr>
  </property>
</Properties>
</file>